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DF4" w14:textId="77777777" w:rsidR="00C75C36" w:rsidRDefault="00C75C36">
      <w:pPr>
        <w:spacing w:after="0"/>
      </w:pPr>
      <w:bookmarkStart w:id="0" w:name="id78f"/>
    </w:p>
    <w:p w14:paraId="4A0E9115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>CID: 37A8-4185</w:t>
      </w:r>
    </w:p>
    <w:p w14:paraId="2BE0AB7F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>Data wygenerowania: 2024-02-06 14:43</w:t>
      </w:r>
    </w:p>
    <w:p w14:paraId="651FEAF2" w14:textId="77777777" w:rsidR="00C75C36" w:rsidRDefault="00C75C36">
      <w:pPr>
        <w:spacing w:after="0"/>
      </w:pPr>
    </w:p>
    <w:p w14:paraId="14852E84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5456474F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5649"/>
        <w:gridCol w:w="2974"/>
      </w:tblGrid>
      <w:tr w:rsidR="00C75C36" w14:paraId="6CCB933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A74E0" w14:textId="77777777" w:rsidR="00C75C36" w:rsidRDefault="001E26E9">
            <w:pPr>
              <w:spacing w:after="0"/>
            </w:pPr>
            <w:bookmarkStart w:id="1" w:name="id793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25A5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9DF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C75C36" w14:paraId="6EBB81A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D09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490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DB4B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C75C36" w14:paraId="2E3234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29C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19B0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505F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C75C36" w14:paraId="3892E8F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FC0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862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C923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C75C36" w14:paraId="5B7BB8C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FBD0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44F2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C497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PL0404PM10dPM2,5aBaPa</w:t>
            </w:r>
          </w:p>
        </w:tc>
      </w:tr>
      <w:tr w:rsidR="00C75C36" w14:paraId="77CEF9E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232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E455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Adres strony internetowej, pod którym znajduje się sprawozdanie okresowe z </w:t>
            </w:r>
            <w:r>
              <w:rPr>
                <w:rFonts w:ascii="Calibri" w:eastAsia="Calibri" w:hAnsi="Calibri" w:cs="Calibri"/>
                <w:color w:val="000000"/>
              </w:rPr>
              <w:t>realizacji programu ochrony powietrza</w:t>
            </w:r>
            <w:bookmarkStart w:id="2" w:name="id794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270C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C75C36" w14:paraId="324079F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53D2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6CF5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FB5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C75C36" w14:paraId="70E633E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FE6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1B72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Adres pocztowy urzędu marszałkowskiego/urzędu miasta/urzędu </w:t>
            </w:r>
            <w:r>
              <w:rPr>
                <w:rFonts w:ascii="Calibri" w:eastAsia="Calibri" w:hAnsi="Calibri" w:cs="Calibri"/>
                <w:color w:val="000000"/>
              </w:rPr>
              <w:t>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C09F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C75C36" w14:paraId="0E5F318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C89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70DD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796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028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C75C36" w14:paraId="09F4804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156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13C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798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7563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C75C36" w14:paraId="21D4544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94803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3B03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elektronicznej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gminy/starostwa powiatowego odpowiedzialnego/odpowiedzialnych za przygotowanie danych</w:t>
            </w:r>
            <w:bookmarkStart w:id="5" w:name="id79a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A41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C75C36" w14:paraId="67F99C1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1478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36C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F6AA" w14:textId="77777777" w:rsidR="00C75C36" w:rsidRDefault="00C75C36">
            <w:pPr>
              <w:spacing w:after="0"/>
            </w:pPr>
          </w:p>
        </w:tc>
      </w:tr>
    </w:tbl>
    <w:p w14:paraId="6DE6115E" w14:textId="77777777" w:rsidR="00C75C36" w:rsidRDefault="001E26E9">
      <w:pPr>
        <w:spacing w:after="0"/>
      </w:pPr>
      <w:r>
        <w:br/>
      </w:r>
    </w:p>
    <w:bookmarkEnd w:id="1"/>
    <w:p w14:paraId="2E353C62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II. Zestawienie informacji na temat realizacji działań </w:t>
      </w:r>
      <w:r>
        <w:rPr>
          <w:rFonts w:ascii="Calibri" w:eastAsia="Calibri" w:hAnsi="Calibri" w:cs="Calibri"/>
          <w:b/>
          <w:color w:val="000000"/>
        </w:rPr>
        <w:t>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116"/>
        <w:gridCol w:w="5487"/>
      </w:tblGrid>
      <w:tr w:rsidR="00C75C36" w14:paraId="6E53E44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A518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7287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78D4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C75C36" w14:paraId="694E589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C7C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4739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081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PL0404_ZSO</w:t>
            </w:r>
          </w:p>
        </w:tc>
      </w:tr>
      <w:tr w:rsidR="00C75C36" w14:paraId="7F319B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87B3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B738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C7D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Ograniczenie emisji z instalacji o małej mocy do 1 MW, w których następuje spalanie paliw stałych</w:t>
            </w:r>
          </w:p>
        </w:tc>
      </w:tr>
      <w:tr w:rsidR="00C75C36" w14:paraId="0DA813C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361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EC1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54B3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PL_Kp_2021_PL0404_B(a)P_a_12</w:t>
            </w:r>
          </w:p>
        </w:tc>
      </w:tr>
      <w:tr w:rsidR="00C75C36" w14:paraId="41471AC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388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539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79d-w-lbl"/>
            <w:bookmarkEnd w:id="6"/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114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1) zastąpienie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niskosprawnych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urządzeń grzewczych podłączeniem do sieci ciepłowniczej lub urządzeniami na gaz;</w:t>
            </w:r>
            <w:r>
              <w:br/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2) działania zmierzające do wymiany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niskosprawnych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kotłów na paliwa stałe na: kotły na olej opałowy, ogrzewanie elektryczne, OZE, kotły spełniające Ekoprojekt, tam, gdzie nie zakazuje tego uchwała antysmogowa. Wymiana dot.: budynków mieszkalnych, lokali, budynków użyteczności publicznej, budynków usługowych, produkcyjnych i handlowych;</w:t>
            </w:r>
            <w:r>
              <w:br/>
            </w:r>
            <w:r>
              <w:rPr>
                <w:rFonts w:ascii="Calibri" w:eastAsia="Calibri" w:hAnsi="Calibri" w:cs="Calibri"/>
                <w:color w:val="000000"/>
              </w:rPr>
              <w:t>3) nowe budynki: sieć ciepłownicza lub gazowa, OZE, urządzenia na olej, ogrzew</w:t>
            </w:r>
            <w:r>
              <w:rPr>
                <w:rFonts w:ascii="Calibri" w:eastAsia="Calibri" w:hAnsi="Calibri" w:cs="Calibri"/>
                <w:color w:val="000000"/>
              </w:rPr>
              <w:t>anie elektryczne lub nowe kotły spełniające Ekoprojekt(tam gdzie można)</w:t>
            </w:r>
          </w:p>
        </w:tc>
      </w:tr>
      <w:tr w:rsidR="00C75C36" w14:paraId="606E867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D2D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6F1F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9B7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C75C36" w14:paraId="2BAC487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A189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298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83E5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C75C36" w14:paraId="5951186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44F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4817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Termin </w:t>
            </w:r>
            <w:r>
              <w:rPr>
                <w:rFonts w:ascii="Calibri" w:eastAsia="Calibri" w:hAnsi="Calibri" w:cs="Calibri"/>
                <w:color w:val="000000"/>
              </w:rPr>
              <w:t>zastosowania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819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lipiec 2023 - grudzień 2023</w:t>
            </w:r>
          </w:p>
        </w:tc>
      </w:tr>
      <w:tr w:rsidR="00C75C36" w14:paraId="78B49E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4CC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904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4357C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2316 %</w:t>
            </w:r>
          </w:p>
        </w:tc>
      </w:tr>
      <w:tr w:rsidR="00C75C36" w14:paraId="6D1CF25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8E78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708D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C434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C75C36" w14:paraId="0BA220D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A232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CC3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182C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C75C36" w14:paraId="00BD63F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64D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387A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4C6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Żnin: 700-lecia 39</w:t>
            </w:r>
          </w:p>
          <w:p w14:paraId="2F0764AE" w14:textId="77777777" w:rsidR="00C75C36" w:rsidRDefault="00C75C36">
            <w:pPr>
              <w:spacing w:after="0"/>
            </w:pPr>
            <w:bookmarkStart w:id="7" w:name="id79f"/>
          </w:p>
          <w:p w14:paraId="49AE4492" w14:textId="77777777" w:rsidR="00C75C36" w:rsidRDefault="00C75C36">
            <w:pPr>
              <w:spacing w:after="0"/>
            </w:pPr>
            <w:bookmarkStart w:id="8" w:name="id7a0"/>
            <w:bookmarkEnd w:id="7"/>
          </w:p>
          <w:p w14:paraId="3D897B51" w14:textId="77777777" w:rsidR="00C75C36" w:rsidRDefault="001E26E9">
            <w:pPr>
              <w:spacing w:after="0"/>
            </w:pPr>
            <w:bookmarkStart w:id="9" w:name="id7a1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C75C36" w14:paraId="3E206262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4CA9F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96</w:t>
                  </w:r>
                </w:p>
              </w:tc>
            </w:tr>
          </w:tbl>
          <w:p w14:paraId="7B6B2FA7" w14:textId="77777777" w:rsidR="00C75C36" w:rsidRDefault="00C75C36"/>
          <w:p w14:paraId="5A1002A4" w14:textId="77777777" w:rsidR="00C75C36" w:rsidRDefault="001E26E9">
            <w:pPr>
              <w:spacing w:after="0"/>
            </w:pPr>
            <w:bookmarkStart w:id="10" w:name="id7a2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Liczba [szt.]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079"/>
              <w:gridCol w:w="2378"/>
            </w:tblGrid>
            <w:tr w:rsidR="00C75C36" w14:paraId="635E3FFD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239D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podłączenie do sieci ciepłowniczej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B225B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E8B520C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9AA9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A17ED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0E6288EF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D777B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79957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40</w:t>
                  </w:r>
                </w:p>
              </w:tc>
            </w:tr>
            <w:tr w:rsidR="00C75C36" w14:paraId="6E03FC79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2BE2B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A5283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</w:t>
                  </w:r>
                </w:p>
              </w:tc>
            </w:tr>
            <w:tr w:rsidR="00C75C36" w14:paraId="1561306A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9A6E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zamiana na kocioł olejowy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84594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0</w:t>
                  </w:r>
                </w:p>
              </w:tc>
            </w:tr>
            <w:tr w:rsidR="00C75C36" w14:paraId="7CC8A1C6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8B1A8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8502C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D36EB68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F3111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E318B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B44438D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F1DBF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automatyczny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903B6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3003CDD5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E03D3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99E57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751F05D3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FC3D8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D1DD2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70D348F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2F60D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A4102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201E8D6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64438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3CBE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734501F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4E142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67A51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42</w:t>
                  </w:r>
                </w:p>
              </w:tc>
            </w:tr>
            <w:tr w:rsidR="00C75C36" w14:paraId="270D3C07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F29207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zamiana na kocioł Ekoprojekt z ręcznym podawaniem paliwa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D8C51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041B96D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C48F0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F685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785B5E4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7367C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lub ogrzewacz pomieszczeń wg innych norm na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62488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380BF37C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9FCAE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3839B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8E63DA8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889E3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2A400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F8E75B9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D820F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5496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20BC0813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470A9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6EB25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46B565E7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8E864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C2800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381329F5" w14:textId="77777777" w:rsidR="00C75C36" w:rsidRDefault="00C75C36"/>
          <w:p w14:paraId="523D6A14" w14:textId="77777777" w:rsidR="00C75C36" w:rsidRDefault="001E26E9">
            <w:pPr>
              <w:spacing w:after="0"/>
            </w:pPr>
            <w:bookmarkStart w:id="11" w:name="id7a3"/>
            <w:bookmarkEnd w:id="10"/>
            <w:r>
              <w:rPr>
                <w:rFonts w:ascii="Calibri" w:eastAsia="Calibri" w:hAnsi="Calibri" w:cs="Calibri"/>
                <w:b/>
                <w:color w:val="000000"/>
              </w:rPr>
              <w:t xml:space="preserve">Powierzchnia [m²] budynków jednorodzinnych, lokali i/lub lokali w budynkach </w:t>
            </w:r>
            <w:r>
              <w:rPr>
                <w:rFonts w:ascii="Calibri" w:eastAsia="Calibri" w:hAnsi="Calibri" w:cs="Calibri"/>
                <w:b/>
                <w:color w:val="000000"/>
              </w:rPr>
              <w:t>wielorodzinnych, w których została dokonana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040"/>
              <w:gridCol w:w="2417"/>
            </w:tblGrid>
            <w:tr w:rsidR="00C75C36" w14:paraId="30AC18FC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1B657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F9AA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01113218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47571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E5A5A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094C401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BB733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3F330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7066</w:t>
                  </w:r>
                </w:p>
              </w:tc>
            </w:tr>
            <w:tr w:rsidR="00C75C36" w14:paraId="56F74C39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304E9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44C2F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1438</w:t>
                  </w:r>
                </w:p>
              </w:tc>
            </w:tr>
            <w:tr w:rsidR="00C75C36" w14:paraId="1B292DFC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341B2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023E9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6DE0E66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D5D65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8BBCF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44B3E6B3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DB4CC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z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nadmuchem ręcznym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1C3898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B990F38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A645CE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D0D57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29B1A4DF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E98F8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Ekoprojekt z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ręcznym podawaniem paliwa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3483D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0</w:t>
                  </w:r>
                </w:p>
              </w:tc>
            </w:tr>
            <w:tr w:rsidR="00C75C36" w14:paraId="1A6A2887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0EBE7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AE226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36EACFD5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A1807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CAECCA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4AB36CE5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33FF0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CBE24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172BA956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65572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D0AF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4792</w:t>
                  </w:r>
                </w:p>
              </w:tc>
            </w:tr>
            <w:tr w:rsidR="00C75C36" w14:paraId="2DA6CF40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0C13C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5F4A0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21AE4CAA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6982BE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likwidacja kotła węglowego - zamiana na kocioł Ekoprojekt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automatyczny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9B19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2D5C522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BFDDB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A8912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79137EF0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F8914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EA2828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90E7205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F9B97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4DFDC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7DC54B04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390DC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D2243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64F3DFC6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DBD94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2A75BE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C75C36" w14:paraId="5401D728" w14:textId="77777777">
              <w:trPr>
                <w:trHeight w:val="30"/>
                <w:tblCellSpacing w:w="20" w:type="dxa"/>
              </w:trPr>
              <w:tc>
                <w:tcPr>
                  <w:tcW w:w="40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DCA26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4ED30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65A7F4DE" w14:textId="77777777" w:rsidR="00C75C36" w:rsidRDefault="00C75C36"/>
          <w:p w14:paraId="7769D298" w14:textId="77777777" w:rsidR="00C75C36" w:rsidRDefault="001E26E9">
            <w:pPr>
              <w:spacing w:after="0"/>
            </w:pPr>
            <w:bookmarkStart w:id="12" w:name="id7a4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Powierzchnia budynków jednorodzinnych, lokali i/lub lokali w budynkach wielorodzinnych, w których dokonano zmiany sposobu ogrzewania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C75C36" w14:paraId="55DA7896" w14:textId="77777777">
              <w:trPr>
                <w:trHeight w:val="30"/>
                <w:tblCellSpacing w:w="20" w:type="dxa"/>
              </w:trPr>
              <w:tc>
                <w:tcPr>
                  <w:tcW w:w="1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10B47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13296</w:t>
                  </w:r>
                </w:p>
              </w:tc>
            </w:tr>
          </w:tbl>
          <w:p w14:paraId="3950EB82" w14:textId="77777777" w:rsidR="00C75C36" w:rsidRDefault="00C75C36"/>
          <w:p w14:paraId="7067ABF8" w14:textId="77777777" w:rsidR="00C75C36" w:rsidRDefault="001E26E9">
            <w:pPr>
              <w:spacing w:after="0"/>
            </w:pPr>
            <w:bookmarkStart w:id="13" w:name="id7a5"/>
            <w:bookmarkEnd w:id="12"/>
            <w:r>
              <w:rPr>
                <w:rFonts w:ascii="Calibri" w:eastAsia="Calibri" w:hAnsi="Calibri" w:cs="Calibri"/>
                <w:b/>
                <w:color w:val="000000"/>
              </w:rPr>
              <w:t xml:space="preserve">Liczba nowo wybudowanych budynków mieszkalnych lub lokali, które wykorzystują </w:t>
            </w:r>
            <w:r>
              <w:rPr>
                <w:rFonts w:ascii="Calibri" w:eastAsia="Calibri" w:hAnsi="Calibri" w:cs="Calibri"/>
                <w:b/>
                <w:color w:val="000000"/>
              </w:rPr>
              <w:t>niskoemisyjne lub zeroemisyjne źródła ciepła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75C36" w14:paraId="4F2BCF2E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3D4FD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5EB7F1C6" w14:textId="77777777" w:rsidR="00C75C36" w:rsidRDefault="00C75C36"/>
          <w:p w14:paraId="51C31F81" w14:textId="77777777" w:rsidR="00C75C36" w:rsidRDefault="001E26E9">
            <w:pPr>
              <w:spacing w:after="0"/>
            </w:pPr>
            <w:bookmarkStart w:id="14" w:name="id7a6"/>
            <w:bookmarkEnd w:id="13"/>
            <w:r>
              <w:rPr>
                <w:rFonts w:ascii="Calibri" w:eastAsia="Calibri" w:hAnsi="Calibri" w:cs="Calibri"/>
                <w:b/>
                <w:color w:val="000000"/>
              </w:rPr>
              <w:t>Liczba budynków, w tym jednorodzinnych i wielorodzinnych lub lokali, w których przeprowadzono termomodernizację bez wymiany źródeł ciepła lub ze zmianą sposobu ogrzewania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75C36" w14:paraId="21970BF7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9C8B4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3AB2C3EB" w14:textId="77777777" w:rsidR="00C75C36" w:rsidRDefault="00C75C36"/>
          <w:p w14:paraId="7712E942" w14:textId="77777777" w:rsidR="00C75C36" w:rsidRDefault="001E26E9">
            <w:pPr>
              <w:spacing w:after="0"/>
            </w:pPr>
            <w:bookmarkStart w:id="15" w:name="id7a7"/>
            <w:bookmarkEnd w:id="14"/>
            <w:r>
              <w:rPr>
                <w:rFonts w:ascii="Calibri" w:eastAsia="Calibri" w:hAnsi="Calibri" w:cs="Calibri"/>
                <w:b/>
                <w:color w:val="000000"/>
              </w:rPr>
              <w:t>Powierzchnia budynków, w tym jednorodzinnych i wielorodzinnych lub lokali, w których przeprowadzono termomodernizację bez wymiany źródeł ciepła lub ze zmianą sposobu ogrzewania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C75C36" w14:paraId="1F4087BE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8B6F7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09A4577F" w14:textId="77777777" w:rsidR="00C75C36" w:rsidRDefault="00C75C36"/>
        </w:tc>
        <w:bookmarkEnd w:id="15"/>
      </w:tr>
      <w:tr w:rsidR="00C75C36" w14:paraId="4EB2D1C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03FA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817B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poszczególnych substancji w </w:t>
            </w:r>
            <w:r>
              <w:rPr>
                <w:rFonts w:ascii="Calibri" w:eastAsia="Calibri" w:hAnsi="Calibri" w:cs="Calibri"/>
                <w:color w:val="000000"/>
              </w:rPr>
              <w:t>powietrzu w ciągu roku osiągnięta w wyniku realizacji działania naprawczego, w ciągu roku realizacji programu ochrony powietrza (Mg/rok)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645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  <w:p w14:paraId="60747B82" w14:textId="77777777" w:rsidR="00C75C36" w:rsidRDefault="001E26E9">
            <w:pPr>
              <w:spacing w:after="0"/>
            </w:pPr>
            <w:bookmarkStart w:id="16" w:name="id7a8"/>
            <w:r>
              <w:rPr>
                <w:rFonts w:ascii="Calibri" w:eastAsia="Calibri" w:hAnsi="Calibri" w:cs="Calibri"/>
                <w:b/>
                <w:color w:val="000000"/>
              </w:rPr>
              <w:t>PM10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C75C36" w14:paraId="43E33880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B312C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7,13</w:t>
                  </w:r>
                </w:p>
              </w:tc>
            </w:tr>
          </w:tbl>
          <w:p w14:paraId="7EFB5DF0" w14:textId="77777777" w:rsidR="00C75C36" w:rsidRDefault="00C75C36"/>
          <w:p w14:paraId="0C4FBF6B" w14:textId="77777777" w:rsidR="00C75C36" w:rsidRDefault="001E26E9">
            <w:pPr>
              <w:spacing w:after="0"/>
            </w:pPr>
            <w:bookmarkStart w:id="17" w:name="id7a9"/>
            <w:bookmarkEnd w:id="16"/>
            <w:r>
              <w:rPr>
                <w:rFonts w:ascii="Calibri" w:eastAsia="Calibri" w:hAnsi="Calibri" w:cs="Calibri"/>
                <w:b/>
                <w:color w:val="000000"/>
              </w:rPr>
              <w:t>PM2,5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C75C36" w14:paraId="468ACE8D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6F2FD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5,49</w:t>
                  </w:r>
                </w:p>
              </w:tc>
            </w:tr>
          </w:tbl>
          <w:p w14:paraId="5622DEB3" w14:textId="77777777" w:rsidR="00C75C36" w:rsidRDefault="00C75C36"/>
          <w:p w14:paraId="12C64CF3" w14:textId="77777777" w:rsidR="00C75C36" w:rsidRDefault="001E26E9">
            <w:pPr>
              <w:spacing w:after="0"/>
            </w:pPr>
            <w:bookmarkStart w:id="18" w:name="id7aa"/>
            <w:bookmarkEnd w:id="17"/>
            <w:r>
              <w:rPr>
                <w:rFonts w:ascii="Calibri" w:eastAsia="Calibri" w:hAnsi="Calibri" w:cs="Calibri"/>
                <w:b/>
                <w:color w:val="000000"/>
              </w:rPr>
              <w:t>B(a)P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C75C36" w14:paraId="20A0D5D2" w14:textId="77777777">
              <w:trPr>
                <w:trHeight w:val="30"/>
                <w:tblCellSpacing w:w="20" w:type="dxa"/>
              </w:trPr>
              <w:tc>
                <w:tcPr>
                  <w:tcW w:w="2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82CA8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0,004739</w:t>
                  </w:r>
                </w:p>
              </w:tc>
            </w:tr>
          </w:tbl>
          <w:p w14:paraId="553789EB" w14:textId="77777777" w:rsidR="00C75C36" w:rsidRDefault="00C75C36"/>
        </w:tc>
        <w:bookmarkEnd w:id="18"/>
      </w:tr>
      <w:tr w:rsidR="00C75C36" w14:paraId="7A474BD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70EE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33B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</w:t>
            </w:r>
            <w:r>
              <w:rPr>
                <w:rFonts w:ascii="Calibri" w:eastAsia="Calibri" w:hAnsi="Calibri" w:cs="Calibri"/>
                <w:color w:val="000000"/>
              </w:rPr>
              <w:t>poniesionych kosztów (w PLN)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1EB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3563874,57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56"/>
              <w:gridCol w:w="1963"/>
            </w:tblGrid>
            <w:tr w:rsidR="00C75C36" w14:paraId="1D9B8A69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334803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5E818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C75C36" w14:paraId="69CADCFE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198F5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9E165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163056,88</w:t>
                  </w:r>
                </w:p>
              </w:tc>
            </w:tr>
            <w:tr w:rsidR="00C75C36" w14:paraId="100EB204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8CE5A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51ED71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30474,51</w:t>
                  </w:r>
                </w:p>
              </w:tc>
            </w:tr>
            <w:tr w:rsidR="00C75C36" w14:paraId="6A61937C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CFEC24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2ECC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478506,76</w:t>
                  </w:r>
                </w:p>
              </w:tc>
            </w:tr>
            <w:tr w:rsidR="00C75C36" w14:paraId="2778B4D1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63E10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FE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BD83DE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75C36" w14:paraId="3DAA9D38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D6F3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FEnIKS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619C00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75C36" w14:paraId="2C489010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5E326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C16B9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6CB8F59" w14:textId="77777777" w:rsidR="00C75C36" w:rsidRDefault="00C75C36"/>
        </w:tc>
      </w:tr>
      <w:tr w:rsidR="00C75C36" w14:paraId="61FD3CB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5FA9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00D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1D3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768556,76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56"/>
              <w:gridCol w:w="1998"/>
            </w:tblGrid>
            <w:tr w:rsidR="00C75C36" w14:paraId="67A62898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169548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69BDE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C75C36" w14:paraId="5AA0CFE7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703079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00895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35163,55</w:t>
                  </w:r>
                </w:p>
              </w:tc>
            </w:tr>
            <w:tr w:rsidR="00C75C36" w14:paraId="59632BD5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54A4D6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44905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6571,89</w:t>
                  </w:r>
                </w:p>
              </w:tc>
            </w:tr>
            <w:tr w:rsidR="00C75C36" w14:paraId="4171DCFF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95615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C54EEF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103190,95</w:t>
                  </w:r>
                </w:p>
              </w:tc>
            </w:tr>
            <w:tr w:rsidR="00C75C36" w14:paraId="1024EE68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808FD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FE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BDB065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75C36" w14:paraId="263BEF7A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DACBD8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FEnIKS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CB02EC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C75C36" w14:paraId="0DE405CC" w14:textId="77777777">
              <w:trPr>
                <w:trHeight w:val="30"/>
                <w:tblCellSpacing w:w="20" w:type="dxa"/>
              </w:trPr>
              <w:tc>
                <w:tcPr>
                  <w:tcW w:w="32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EE9B2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382B5B" w14:textId="77777777" w:rsidR="00C75C36" w:rsidRDefault="001E26E9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FBF1E60" w14:textId="77777777" w:rsidR="00C75C36" w:rsidRDefault="00C75C36"/>
        </w:tc>
      </w:tr>
      <w:tr w:rsidR="00C75C36" w14:paraId="55F1D48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0B6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4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6315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9" w:name="id7ab-w-lbl"/>
            <w:bookmarkEnd w:id="19"/>
          </w:p>
        </w:tc>
        <w:tc>
          <w:tcPr>
            <w:tcW w:w="8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06B52" w14:textId="77777777" w:rsidR="00C75C36" w:rsidRDefault="00C75C36">
            <w:pPr>
              <w:spacing w:after="0"/>
            </w:pPr>
          </w:p>
        </w:tc>
      </w:tr>
    </w:tbl>
    <w:p w14:paraId="3973DBB2" w14:textId="77777777" w:rsidR="00C75C36" w:rsidRDefault="001E26E9">
      <w:pPr>
        <w:spacing w:after="0"/>
      </w:pPr>
      <w:r>
        <w:br/>
      </w:r>
    </w:p>
    <w:p w14:paraId="2CC01787" w14:textId="77777777" w:rsidR="00C75C36" w:rsidRDefault="00C75C36">
      <w:pPr>
        <w:spacing w:after="0"/>
      </w:pPr>
    </w:p>
    <w:p w14:paraId="6053640B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 w14:paraId="7A31D734" w14:textId="77777777" w:rsidR="00C75C36" w:rsidRDefault="001E26E9">
      <w:pPr>
        <w:spacing w:after="0"/>
      </w:pPr>
      <w:bookmarkStart w:id="20" w:name="id7ae"/>
      <w:r>
        <w:rPr>
          <w:rFonts w:ascii="Calibri" w:eastAsia="Calibri" w:hAnsi="Calibri" w:cs="Calibri"/>
          <w:color w:val="000000"/>
        </w:rPr>
        <w:t>Sejmik Województwa w uchwale antysmogowej wprowadził wymagania jakościowe dla biomasy dopuszczonej do stosowania w województwie.</w:t>
      </w:r>
    </w:p>
    <w:bookmarkEnd w:id="20"/>
    <w:p w14:paraId="6519E498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1581"/>
        <w:gridCol w:w="1423"/>
      </w:tblGrid>
      <w:tr w:rsidR="00C75C36" w14:paraId="23C84D1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7B0E" w14:textId="77777777" w:rsidR="00C75C36" w:rsidRDefault="00C75C36">
            <w:bookmarkStart w:id="21" w:name="id7b0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487C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9FE7" w14:textId="77777777" w:rsidR="00C75C36" w:rsidRDefault="001E26E9">
            <w:pPr>
              <w:spacing w:after="0"/>
            </w:pPr>
            <w:bookmarkStart w:id="22" w:name="id7b1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22"/>
      </w:tr>
      <w:tr w:rsidR="00C75C36" w14:paraId="279E729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3367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D406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3563874,57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B31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768556,76</w:t>
            </w:r>
          </w:p>
        </w:tc>
      </w:tr>
      <w:tr w:rsidR="00C75C36" w14:paraId="23862C45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DBA8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B4E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163056,88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ABA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35163,55</w:t>
            </w:r>
          </w:p>
        </w:tc>
      </w:tr>
      <w:tr w:rsidR="00C75C36" w14:paraId="71EA00D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28C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791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30474,51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571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6571,89</w:t>
            </w:r>
          </w:p>
        </w:tc>
      </w:tr>
      <w:tr w:rsidR="00C75C36" w14:paraId="45BEFA7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F74B3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r>
              <w:rPr>
                <w:rFonts w:ascii="Calibri" w:eastAsia="Calibri" w:hAnsi="Calibri" w:cs="Calibri"/>
                <w:color w:val="000000"/>
              </w:rPr>
              <w:t>NFOŚiGW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CD83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478506,76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F59A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103190,95</w:t>
            </w:r>
          </w:p>
        </w:tc>
      </w:tr>
      <w:tr w:rsidR="00C75C36" w14:paraId="3A1F5D1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73C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FE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6981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F75D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7AAFC27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2041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FEnIKS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3683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67A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2C570B94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53E87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AA7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86D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bookmarkEnd w:id="21"/>
    <w:p w14:paraId="226407CE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535"/>
      </w:tblGrid>
      <w:tr w:rsidR="00C75C36" w14:paraId="11D077F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C37E9" w14:textId="77777777" w:rsidR="00C75C36" w:rsidRDefault="001E26E9">
            <w:pPr>
              <w:spacing w:after="0"/>
            </w:pPr>
            <w:bookmarkStart w:id="23" w:name="id7b2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9C9D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[kg/rok]</w:t>
            </w:r>
          </w:p>
        </w:tc>
      </w:tr>
      <w:tr w:rsidR="00C75C36" w14:paraId="7414F00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66605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47EE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7,13</w:t>
            </w:r>
          </w:p>
        </w:tc>
      </w:tr>
      <w:tr w:rsidR="00C75C36" w14:paraId="322BD1C6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A336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31364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5,49</w:t>
            </w:r>
          </w:p>
        </w:tc>
      </w:tr>
      <w:tr w:rsidR="00C75C36" w14:paraId="763CAD3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B68BA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D929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0,004739</w:t>
            </w:r>
          </w:p>
        </w:tc>
      </w:tr>
      <w:tr w:rsidR="00C75C36" w14:paraId="4CB625A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D665B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C690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0E07FBB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72E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40672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14A8377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939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AB30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7DC01490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4A0C8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8D63F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326F810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1C4E2" w14:textId="77777777" w:rsidR="00C75C36" w:rsidRDefault="001E26E9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lastRenderedPageBreak/>
              <w:t>NOx</w:t>
            </w:r>
            <w:proofErr w:type="spellEnd"/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AF396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0122B53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5EAF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313FE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C75C36" w14:paraId="7B3C793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C75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E4651" w14:textId="77777777" w:rsidR="00C75C36" w:rsidRDefault="001E26E9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5A03F938" w14:textId="77777777" w:rsidR="00C75C36" w:rsidRDefault="001E26E9">
      <w:pPr>
        <w:spacing w:after="0"/>
      </w:pPr>
      <w:bookmarkStart w:id="24" w:name="id7b3"/>
      <w:bookmarkEnd w:id="23"/>
      <w:r>
        <w:rPr>
          <w:rFonts w:ascii="Calibri" w:eastAsia="Calibri" w:hAnsi="Calibri" w:cs="Calibri"/>
          <w:b/>
          <w:color w:val="000000"/>
        </w:rPr>
        <w:t>Objaśnienia:</w:t>
      </w:r>
    </w:p>
    <w:p w14:paraId="657CAE16" w14:textId="77777777" w:rsidR="00C75C36" w:rsidRDefault="001E26E9">
      <w:pPr>
        <w:spacing w:after="0"/>
      </w:pPr>
      <w:r>
        <w:rPr>
          <w:rFonts w:ascii="Calibri" w:eastAsia="Calibri" w:hAnsi="Calibri" w:cs="Calibri"/>
          <w:color w:val="000000"/>
        </w:rPr>
        <w:t xml:space="preserve">1) Informacja dotycząca sprawozdania okresowego z realizacji programu ochrony powietrza jest tożsama z informacją dotyczącą sprawozdania okresowego z </w:t>
      </w:r>
      <w:r>
        <w:rPr>
          <w:rFonts w:ascii="Calibri" w:eastAsia="Calibri" w:hAnsi="Calibri" w:cs="Calibri"/>
          <w:color w:val="000000"/>
        </w:rPr>
        <w:t>realizacji aktualizacji programu ochrony powietrza.</w:t>
      </w:r>
    </w:p>
    <w:p w14:paraId="7B2F6C89" w14:textId="77777777" w:rsidR="00C75C36" w:rsidRDefault="001E26E9">
      <w:pPr>
        <w:spacing w:after="0"/>
      </w:pPr>
      <w:r>
        <w:rPr>
          <w:rFonts w:ascii="Calibri" w:eastAsia="Calibri" w:hAnsi="Calibri" w:cs="Calibri"/>
          <w:color w:val="000000"/>
        </w:rPr>
        <w:t>2) Kod strefy określony zgodnie z art. 87 ust. 2a ustawy z dnia 27 kwietnia 2001 r. – Prawo ochrony środowiska (Dz. U. z 2022 r. poz. 2556, z późn. zm.) w załączniku do tej ustawy.</w:t>
      </w:r>
    </w:p>
    <w:p w14:paraId="6563CF36" w14:textId="77777777" w:rsidR="00C75C36" w:rsidRDefault="001E26E9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411125CE" w14:textId="77777777" w:rsidR="00C75C36" w:rsidRDefault="001E26E9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49E42BD9" w14:textId="77777777" w:rsidR="00C75C36" w:rsidRDefault="001E26E9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5172FFC5" w14:textId="77777777" w:rsidR="00C75C36" w:rsidRDefault="00C75C36">
      <w:pPr>
        <w:pageBreakBefore/>
        <w:spacing w:after="0"/>
      </w:pPr>
      <w:bookmarkStart w:id="25" w:name="id7b5"/>
      <w:bookmarkStart w:id="26" w:name="id7b4"/>
      <w:bookmarkEnd w:id="24"/>
    </w:p>
    <w:bookmarkEnd w:id="25"/>
    <w:p w14:paraId="43CAFD89" w14:textId="77777777" w:rsidR="00C75C36" w:rsidRDefault="001E26E9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5D6D49DC" w14:textId="77777777" w:rsidR="00C75C36" w:rsidRDefault="00C75C36">
      <w:pPr>
        <w:spacing w:after="0"/>
      </w:pPr>
    </w:p>
    <w:p w14:paraId="44B755A3" w14:textId="77777777" w:rsidR="00C75C36" w:rsidRDefault="00C75C36">
      <w:pPr>
        <w:spacing w:after="0"/>
      </w:pPr>
    </w:p>
    <w:p w14:paraId="485D2A74" w14:textId="77777777" w:rsidR="00C75C36" w:rsidRDefault="001E26E9">
      <w:pPr>
        <w:spacing w:after="0"/>
      </w:pPr>
      <w:bookmarkStart w:id="27" w:name="id7bc"/>
      <w:r>
        <w:rPr>
          <w:rFonts w:ascii="Calibri" w:eastAsia="Calibri" w:hAnsi="Calibri" w:cs="Calibri"/>
          <w:color w:val="000000"/>
        </w:rPr>
        <w:t xml:space="preserve">Nie realizowano planu działań </w:t>
      </w:r>
      <w:r>
        <w:rPr>
          <w:rFonts w:ascii="Calibri" w:eastAsia="Calibri" w:hAnsi="Calibri" w:cs="Calibri"/>
          <w:color w:val="000000"/>
        </w:rPr>
        <w:t>krótkoterminowych</w:t>
      </w:r>
    </w:p>
    <w:bookmarkEnd w:id="27"/>
    <w:bookmarkEnd w:id="26"/>
    <w:bookmarkEnd w:id="0"/>
    <w:sectPr w:rsidR="00C75C3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36"/>
    <w:rsid w:val="001E26E9"/>
    <w:rsid w:val="00C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A5D"/>
  <w15:docId w15:val="{21A15ADB-74BE-4079-AB49-0414B4E5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1607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2024-02-06T13:52:00Z</dcterms:created>
  <dcterms:modified xsi:type="dcterms:W3CDTF">2024-02-06T13:52:00Z</dcterms:modified>
</cp:coreProperties>
</file>