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B21197">
        <w:rPr>
          <w:b/>
        </w:rPr>
        <w:t>143</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B21197">
        <w:t xml:space="preserve">  20</w:t>
      </w:r>
      <w:r w:rsidR="003B17D2">
        <w:t xml:space="preserve"> </w:t>
      </w:r>
      <w:r w:rsidR="00B21197">
        <w:t xml:space="preserve">czerwca </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3B17D2">
        <w:rPr>
          <w:b/>
        </w:rPr>
        <w:t xml:space="preserve">Przebudowa </w:t>
      </w:r>
      <w:r w:rsidR="00B21197">
        <w:rPr>
          <w:b/>
        </w:rPr>
        <w:t>ulicy Polnej w Żninie</w:t>
      </w:r>
      <w:r w:rsidR="0058291A" w:rsidRPr="0058291A">
        <w:rPr>
          <w:b/>
        </w:rPr>
        <w:t>”.</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58291A" w:rsidP="000C25ED">
      <w:pPr>
        <w:spacing w:after="0" w:line="360" w:lineRule="auto"/>
        <w:jc w:val="both"/>
      </w:pPr>
      <w:r>
        <w:t xml:space="preserve">Ryszard Parjaska              </w:t>
      </w:r>
      <w:r w:rsidR="008F0E93">
        <w:t xml:space="preserve">   </w:t>
      </w:r>
      <w:r w:rsidR="007E026B">
        <w:t xml:space="preserve"> – członek komisji </w:t>
      </w:r>
    </w:p>
    <w:p w:rsidR="00F7522D" w:rsidRDefault="00B21197" w:rsidP="000C25ED">
      <w:pPr>
        <w:spacing w:after="0" w:line="360" w:lineRule="auto"/>
        <w:jc w:val="both"/>
      </w:pPr>
      <w:r>
        <w:t xml:space="preserve">Dawid Kuźniak     </w:t>
      </w:r>
      <w:r w:rsidR="00551DF6">
        <w:t xml:space="preserve">            </w:t>
      </w:r>
      <w:r w:rsidR="003B17D2">
        <w:t xml:space="preserve">    </w:t>
      </w:r>
      <w:r w:rsidR="003B17D2" w:rsidRPr="007E026B">
        <w:t>–</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Default="003B17D2" w:rsidP="000C25ED">
      <w:pPr>
        <w:spacing w:after="0"/>
        <w:ind w:left="5664" w:firstLine="708"/>
        <w:rPr>
          <w:b/>
        </w:rPr>
      </w:pPr>
      <w:r>
        <w:rPr>
          <w:b/>
        </w:rPr>
        <w:t xml:space="preserve">  </w:t>
      </w:r>
      <w:r w:rsidR="000033DD">
        <w:rPr>
          <w:b/>
        </w:rPr>
        <w:t>/-/</w:t>
      </w:r>
      <w:r>
        <w:rPr>
          <w:b/>
        </w:rPr>
        <w:t xml:space="preserve"> </w:t>
      </w:r>
      <w:r w:rsidR="00835184" w:rsidRPr="00835184">
        <w:rPr>
          <w:b/>
        </w:rPr>
        <w:t xml:space="preserve">Robert Luchowski </w:t>
      </w:r>
    </w:p>
    <w:p w:rsidR="000C25ED" w:rsidRDefault="000C25ED" w:rsidP="000C25ED">
      <w:pPr>
        <w:spacing w:after="0"/>
        <w:ind w:left="5664" w:firstLine="708"/>
        <w:rPr>
          <w:b/>
        </w:rPr>
      </w:pP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B21197" w:rsidP="00BD5002">
      <w:pPr>
        <w:spacing w:after="0" w:line="240" w:lineRule="auto"/>
        <w:ind w:left="5664" w:firstLine="708"/>
        <w:rPr>
          <w:rFonts w:ascii="Times New Roman" w:hAnsi="Times New Roman" w:cs="Times New Roman"/>
        </w:rPr>
      </w:pPr>
      <w:r>
        <w:rPr>
          <w:rFonts w:ascii="Times New Roman" w:hAnsi="Times New Roman" w:cs="Times New Roman"/>
        </w:rPr>
        <w:t>Nr 143</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w:t>
      </w:r>
      <w:r w:rsidR="00B21197">
        <w:rPr>
          <w:rFonts w:ascii="Times New Roman" w:hAnsi="Times New Roman" w:cs="Times New Roman"/>
        </w:rPr>
        <w:t xml:space="preserve">20 czerwca </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Default="003B17D2" w:rsidP="00BD5002">
      <w:pPr>
        <w:spacing w:after="0"/>
        <w:ind w:left="5664" w:firstLine="708"/>
        <w:jc w:val="center"/>
        <w:rPr>
          <w:b/>
        </w:rPr>
      </w:pPr>
      <w:r>
        <w:rPr>
          <w:b/>
        </w:rPr>
        <w:t xml:space="preserve">  </w:t>
      </w:r>
      <w:r w:rsidR="000033DD">
        <w:rPr>
          <w:b/>
        </w:rPr>
        <w:t xml:space="preserve">/-/ </w:t>
      </w:r>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r w:rsidR="00B21197">
        <w:t>a</w:t>
      </w:r>
      <w:bookmarkStart w:id="0" w:name="_GoBack"/>
      <w:bookmarkEnd w:id="0"/>
      <w:r>
        <w:t>:</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83" w:rsidRDefault="00634B83" w:rsidP="007E026B">
      <w:pPr>
        <w:spacing w:after="0" w:line="240" w:lineRule="auto"/>
      </w:pPr>
      <w:r>
        <w:separator/>
      </w:r>
    </w:p>
  </w:endnote>
  <w:endnote w:type="continuationSeparator" w:id="0">
    <w:p w:rsidR="00634B83" w:rsidRDefault="00634B83"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83" w:rsidRDefault="00634B83" w:rsidP="007E026B">
      <w:pPr>
        <w:spacing w:after="0" w:line="240" w:lineRule="auto"/>
      </w:pPr>
      <w:r>
        <w:separator/>
      </w:r>
    </w:p>
  </w:footnote>
  <w:footnote w:type="continuationSeparator" w:id="0">
    <w:p w:rsidR="00634B83" w:rsidRDefault="00634B83"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C25ED"/>
    <w:rsid w:val="000C4771"/>
    <w:rsid w:val="000F13A4"/>
    <w:rsid w:val="001543CB"/>
    <w:rsid w:val="00173C27"/>
    <w:rsid w:val="0017788B"/>
    <w:rsid w:val="00180409"/>
    <w:rsid w:val="001C52CC"/>
    <w:rsid w:val="001D48EA"/>
    <w:rsid w:val="002943F4"/>
    <w:rsid w:val="002C7745"/>
    <w:rsid w:val="00366BF4"/>
    <w:rsid w:val="003B17D2"/>
    <w:rsid w:val="004133AA"/>
    <w:rsid w:val="004626C4"/>
    <w:rsid w:val="0052330E"/>
    <w:rsid w:val="00524CCA"/>
    <w:rsid w:val="00551DF6"/>
    <w:rsid w:val="0058291A"/>
    <w:rsid w:val="00602E7E"/>
    <w:rsid w:val="006104ED"/>
    <w:rsid w:val="00634B83"/>
    <w:rsid w:val="00676BF1"/>
    <w:rsid w:val="006C053D"/>
    <w:rsid w:val="00712679"/>
    <w:rsid w:val="00723367"/>
    <w:rsid w:val="0076120C"/>
    <w:rsid w:val="007842C7"/>
    <w:rsid w:val="007D0068"/>
    <w:rsid w:val="007E026B"/>
    <w:rsid w:val="00835184"/>
    <w:rsid w:val="008A4741"/>
    <w:rsid w:val="008F0E93"/>
    <w:rsid w:val="009570AE"/>
    <w:rsid w:val="009B23CF"/>
    <w:rsid w:val="009D1FCC"/>
    <w:rsid w:val="00A4692E"/>
    <w:rsid w:val="00AD695B"/>
    <w:rsid w:val="00B21197"/>
    <w:rsid w:val="00B35121"/>
    <w:rsid w:val="00B67FDD"/>
    <w:rsid w:val="00BC4C36"/>
    <w:rsid w:val="00BD5002"/>
    <w:rsid w:val="00CD7FE2"/>
    <w:rsid w:val="00D0736C"/>
    <w:rsid w:val="00D27C0E"/>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12801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2016-05-11T06:58:00Z</cp:lastPrinted>
  <dcterms:created xsi:type="dcterms:W3CDTF">2016-06-20T06:51:00Z</dcterms:created>
  <dcterms:modified xsi:type="dcterms:W3CDTF">2016-06-20T06:51:00Z</dcterms:modified>
</cp:coreProperties>
</file>